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6C99" w14:textId="77777777" w:rsidR="00BC726A" w:rsidRDefault="00BC726A" w:rsidP="00D254A0">
      <w:pPr>
        <w:jc w:val="center"/>
        <w:rPr>
          <w:b/>
          <w:bCs/>
          <w:u w:val="single"/>
        </w:rPr>
      </w:pPr>
    </w:p>
    <w:p w14:paraId="56BAB484" w14:textId="7FB9E1B9" w:rsidR="00E32B52" w:rsidRPr="00D254A0" w:rsidRDefault="00E32B52" w:rsidP="00D254A0">
      <w:pPr>
        <w:jc w:val="center"/>
        <w:rPr>
          <w:b/>
          <w:bCs/>
          <w:u w:val="single"/>
        </w:rPr>
      </w:pPr>
      <w:r w:rsidRPr="00D254A0">
        <w:rPr>
          <w:b/>
          <w:bCs/>
          <w:u w:val="single"/>
        </w:rPr>
        <w:t xml:space="preserve">Total </w:t>
      </w:r>
      <w:proofErr w:type="spellStart"/>
      <w:r w:rsidRPr="00D254A0">
        <w:rPr>
          <w:b/>
          <w:bCs/>
          <w:u w:val="single"/>
        </w:rPr>
        <w:t>Ivenix</w:t>
      </w:r>
      <w:proofErr w:type="spellEnd"/>
      <w:r w:rsidRPr="00D254A0">
        <w:rPr>
          <w:b/>
          <w:bCs/>
          <w:u w:val="single"/>
        </w:rPr>
        <w:t xml:space="preserve"> Pump</w:t>
      </w:r>
      <w:r w:rsidR="00D254A0" w:rsidRPr="00D254A0">
        <w:rPr>
          <w:b/>
          <w:bCs/>
          <w:u w:val="single"/>
        </w:rPr>
        <w:t>s: 45</w:t>
      </w:r>
    </w:p>
    <w:p w14:paraId="79C85557" w14:textId="3FEAF159" w:rsidR="00E32B52" w:rsidRDefault="00E32B52" w:rsidP="00D254A0">
      <w:pPr>
        <w:jc w:val="center"/>
        <w:rPr>
          <w:b/>
          <w:bCs/>
        </w:rPr>
      </w:pPr>
      <w:r>
        <w:rPr>
          <w:b/>
          <w:bCs/>
        </w:rPr>
        <w:t>Day Surgery: 7</w:t>
      </w:r>
    </w:p>
    <w:p w14:paraId="273272BF" w14:textId="3339CA49" w:rsidR="00E32B52" w:rsidRDefault="00E32B52" w:rsidP="00D254A0">
      <w:pPr>
        <w:jc w:val="center"/>
        <w:rPr>
          <w:b/>
          <w:bCs/>
        </w:rPr>
      </w:pPr>
      <w:r>
        <w:rPr>
          <w:b/>
          <w:bCs/>
        </w:rPr>
        <w:t>ER: 14</w:t>
      </w:r>
    </w:p>
    <w:p w14:paraId="394CD40A" w14:textId="4B121C06" w:rsidR="00E32B52" w:rsidRPr="00E32B52" w:rsidRDefault="00E32B52" w:rsidP="00D254A0">
      <w:pPr>
        <w:jc w:val="center"/>
        <w:rPr>
          <w:b/>
          <w:bCs/>
        </w:rPr>
      </w:pPr>
      <w:r>
        <w:rPr>
          <w:b/>
          <w:bCs/>
        </w:rPr>
        <w:t xml:space="preserve">Med/Surg &amp; ICU: </w:t>
      </w:r>
      <w:r w:rsidR="00936103">
        <w:rPr>
          <w:b/>
          <w:bCs/>
        </w:rPr>
        <w:t>24</w:t>
      </w:r>
    </w:p>
    <w:p w14:paraId="08ECBA5E" w14:textId="77777777" w:rsidR="004B6367" w:rsidRDefault="004B6367"/>
    <w:p w14:paraId="5768DAA3" w14:textId="77777777" w:rsidR="00BC726A" w:rsidRDefault="00BC726A">
      <w:pPr>
        <w:rPr>
          <w:b/>
          <w:bCs/>
          <w:sz w:val="28"/>
          <w:szCs w:val="28"/>
          <w:highlight w:val="yellow"/>
        </w:rPr>
      </w:pPr>
    </w:p>
    <w:p w14:paraId="3F6A2763" w14:textId="65F3DCC2" w:rsidR="00E202B7" w:rsidRPr="00E202B7" w:rsidRDefault="00E202B7">
      <w:pPr>
        <w:rPr>
          <w:b/>
          <w:bCs/>
          <w:sz w:val="28"/>
          <w:szCs w:val="28"/>
        </w:rPr>
      </w:pPr>
      <w:r w:rsidRPr="00E202B7">
        <w:rPr>
          <w:b/>
          <w:bCs/>
          <w:sz w:val="28"/>
          <w:szCs w:val="28"/>
          <w:highlight w:val="yellow"/>
        </w:rPr>
        <w:t>Hospital Wide IV Pump Lock Code: 5555</w:t>
      </w:r>
    </w:p>
    <w:p w14:paraId="3460CB48" w14:textId="77777777" w:rsidR="00E202B7" w:rsidRDefault="00E202B7">
      <w:pPr>
        <w:rPr>
          <w:b/>
          <w:bCs/>
        </w:rPr>
      </w:pPr>
    </w:p>
    <w:p w14:paraId="3E4230BD" w14:textId="7E813F66" w:rsidR="003F3CCE" w:rsidRPr="00E32B52" w:rsidRDefault="00E67483">
      <w:pPr>
        <w:rPr>
          <w:b/>
          <w:bCs/>
        </w:rPr>
      </w:pPr>
      <w:r w:rsidRPr="00E32B52">
        <w:rPr>
          <w:b/>
          <w:bCs/>
        </w:rPr>
        <w:t xml:space="preserve">Fresenius </w:t>
      </w:r>
      <w:r w:rsidR="000F38C7" w:rsidRPr="00E32B52">
        <w:rPr>
          <w:b/>
          <w:bCs/>
        </w:rPr>
        <w:t xml:space="preserve">Kabi Infusion </w:t>
      </w:r>
      <w:r w:rsidRPr="00E32B52">
        <w:rPr>
          <w:b/>
          <w:bCs/>
        </w:rPr>
        <w:t>Resource Site:</w:t>
      </w:r>
    </w:p>
    <w:p w14:paraId="23751E26" w14:textId="7AC57DB2" w:rsidR="003F3CCE" w:rsidRDefault="00E67483">
      <w:hyperlink r:id="rId7" w:history="1">
        <w:r w:rsidRPr="00E67483">
          <w:rPr>
            <w:rStyle w:val="Hyperlink"/>
          </w:rPr>
          <w:t>Fresenius Kabi Infusion Resources</w:t>
        </w:r>
      </w:hyperlink>
    </w:p>
    <w:p w14:paraId="137B12B9" w14:textId="451237B7" w:rsidR="003F3CCE" w:rsidRPr="00E67483" w:rsidRDefault="00E67483">
      <w:pPr>
        <w:rPr>
          <w:sz w:val="24"/>
          <w:szCs w:val="24"/>
        </w:rPr>
      </w:pPr>
      <w:r w:rsidRPr="00E67483">
        <w:rPr>
          <w:sz w:val="24"/>
          <w:szCs w:val="24"/>
        </w:rPr>
        <w:t>Password: infus</w:t>
      </w:r>
      <w:r w:rsidR="001C0B96">
        <w:rPr>
          <w:sz w:val="24"/>
          <w:szCs w:val="24"/>
        </w:rPr>
        <w:t>e</w:t>
      </w:r>
    </w:p>
    <w:p w14:paraId="2E0FC2D9" w14:textId="77777777" w:rsidR="005E2699" w:rsidRDefault="005E2699"/>
    <w:p w14:paraId="67B7F76B" w14:textId="7E10A030" w:rsidR="00206895" w:rsidRPr="00730B6E" w:rsidRDefault="00730B6E">
      <w:pPr>
        <w:rPr>
          <w:b/>
          <w:bCs/>
        </w:rPr>
      </w:pPr>
      <w:proofErr w:type="spellStart"/>
      <w:r w:rsidRPr="00730B6E">
        <w:rPr>
          <w:b/>
          <w:bCs/>
        </w:rPr>
        <w:t>Ivenix</w:t>
      </w:r>
      <w:proofErr w:type="spellEnd"/>
      <w:r w:rsidRPr="00730B6E">
        <w:rPr>
          <w:b/>
          <w:bCs/>
        </w:rPr>
        <w:t xml:space="preserve"> </w:t>
      </w:r>
      <w:r w:rsidR="001C0B96">
        <w:rPr>
          <w:b/>
          <w:bCs/>
        </w:rPr>
        <w:t xml:space="preserve">LVP </w:t>
      </w:r>
      <w:r w:rsidRPr="00730B6E">
        <w:rPr>
          <w:b/>
          <w:bCs/>
        </w:rPr>
        <w:t>Quick Reference Guide</w:t>
      </w:r>
      <w:r w:rsidR="00E97EC8">
        <w:rPr>
          <w:b/>
          <w:bCs/>
        </w:rPr>
        <w:t xml:space="preserve"> 5.10</w:t>
      </w:r>
      <w:r w:rsidRPr="00730B6E">
        <w:rPr>
          <w:b/>
          <w:bCs/>
        </w:rPr>
        <w:t>:</w:t>
      </w:r>
      <w:r w:rsidR="00C604BC">
        <w:rPr>
          <w:b/>
          <w:bCs/>
        </w:rPr>
        <w:t xml:space="preserve"> </w:t>
      </w:r>
    </w:p>
    <w:p w14:paraId="32394E0F" w14:textId="1F3CD754" w:rsidR="00730B6E" w:rsidRDefault="00730B6E">
      <w:hyperlink r:id="rId8" w:history="1">
        <w:r w:rsidRPr="00730B6E">
          <w:rPr>
            <w:rStyle w:val="Hyperlink"/>
          </w:rPr>
          <w:t>View Document</w:t>
        </w:r>
      </w:hyperlink>
    </w:p>
    <w:p w14:paraId="6B2B1BF6" w14:textId="5C17EC23" w:rsidR="00730B6E" w:rsidRPr="00E67483" w:rsidRDefault="00730B6E" w:rsidP="00730B6E">
      <w:pPr>
        <w:rPr>
          <w:sz w:val="24"/>
          <w:szCs w:val="24"/>
        </w:rPr>
      </w:pPr>
      <w:r w:rsidRPr="00E67483">
        <w:rPr>
          <w:sz w:val="24"/>
          <w:szCs w:val="24"/>
        </w:rPr>
        <w:t>Password: infus</w:t>
      </w:r>
      <w:r w:rsidR="001C0B96">
        <w:rPr>
          <w:sz w:val="24"/>
          <w:szCs w:val="24"/>
        </w:rPr>
        <w:t>e</w:t>
      </w:r>
    </w:p>
    <w:p w14:paraId="27B79ECC" w14:textId="77777777" w:rsidR="00730B6E" w:rsidRDefault="00730B6E"/>
    <w:p w14:paraId="46CE2A38" w14:textId="77777777" w:rsidR="00CE396B" w:rsidRDefault="00BB0D8D" w:rsidP="00CE396B">
      <w:r w:rsidRPr="009F2BAD">
        <w:rPr>
          <w:b/>
          <w:bCs/>
        </w:rPr>
        <w:t>Super User List:</w:t>
      </w:r>
      <w:r w:rsidR="00CE396B" w:rsidRPr="00CE396B">
        <w:t xml:space="preserve"> </w:t>
      </w:r>
    </w:p>
    <w:p w14:paraId="592E8049" w14:textId="2ECE98F1" w:rsidR="00CE396B" w:rsidRPr="00CE396B" w:rsidRDefault="00CE396B" w:rsidP="00CE396B">
      <w:r w:rsidRPr="00CE396B">
        <w:t>Rachel Borchardt (ER)</w:t>
      </w:r>
    </w:p>
    <w:p w14:paraId="67FC4A95" w14:textId="77777777" w:rsidR="00CE396B" w:rsidRPr="00CE396B" w:rsidRDefault="00CE396B" w:rsidP="00CE396B">
      <w:r w:rsidRPr="00CE396B">
        <w:t>Scott Blackledge (ER)</w:t>
      </w:r>
    </w:p>
    <w:p w14:paraId="4D9EA79E" w14:textId="54C61CB4" w:rsidR="00BB0D8D" w:rsidRPr="00CE396B" w:rsidRDefault="00CE396B" w:rsidP="00CE396B">
      <w:r w:rsidRPr="00CE396B">
        <w:t>Nikki Rowin (ER)</w:t>
      </w:r>
    </w:p>
    <w:p w14:paraId="503EAD2E" w14:textId="77777777" w:rsidR="00CE396B" w:rsidRPr="00CE396B" w:rsidRDefault="00CE396B" w:rsidP="00CE396B">
      <w:r w:rsidRPr="00CE396B">
        <w:t>Jess Duckwitz (MS)</w:t>
      </w:r>
    </w:p>
    <w:p w14:paraId="0F86A783" w14:textId="77777777" w:rsidR="00CE396B" w:rsidRPr="00CE396B" w:rsidRDefault="00CE396B" w:rsidP="00CE396B">
      <w:r w:rsidRPr="00CE396B">
        <w:t>Jennifer Wagner (MS/ICU)</w:t>
      </w:r>
    </w:p>
    <w:p w14:paraId="10014F55" w14:textId="3BD51259" w:rsidR="00CE396B" w:rsidRPr="00CE396B" w:rsidRDefault="00CE396B" w:rsidP="00CE396B">
      <w:r w:rsidRPr="00CE396B">
        <w:t>Marissa Brady (MS/ICU)</w:t>
      </w:r>
    </w:p>
    <w:p w14:paraId="55C12559" w14:textId="77777777" w:rsidR="00CE396B" w:rsidRPr="00CE396B" w:rsidRDefault="00CE396B" w:rsidP="00CE396B">
      <w:r w:rsidRPr="00CE396B">
        <w:t>Brittany McCandless (SS)</w:t>
      </w:r>
    </w:p>
    <w:p w14:paraId="7904AFD7" w14:textId="77777777" w:rsidR="00CE396B" w:rsidRPr="009F2BAD" w:rsidRDefault="00CE396B" w:rsidP="00CE396B">
      <w:pPr>
        <w:rPr>
          <w:b/>
          <w:bCs/>
        </w:rPr>
      </w:pPr>
    </w:p>
    <w:p w14:paraId="4A4B7CF3" w14:textId="77777777" w:rsidR="00204DAE" w:rsidRDefault="00751112">
      <w:r w:rsidRPr="00204DAE">
        <w:rPr>
          <w:b/>
          <w:bCs/>
        </w:rPr>
        <w:t>Clinical Education:</w:t>
      </w:r>
      <w:r>
        <w:t xml:space="preserve">  </w:t>
      </w:r>
    </w:p>
    <w:p w14:paraId="11273396" w14:textId="3A499197" w:rsidR="00751112" w:rsidRDefault="00751112">
      <w:r>
        <w:t>Sam Stoltz</w:t>
      </w:r>
      <w:r w:rsidR="00204DAE">
        <w:t xml:space="preserve">  </w:t>
      </w:r>
      <w:hyperlink r:id="rId9" w:history="1">
        <w:r w:rsidR="00204DAE" w:rsidRPr="001F7FAC">
          <w:rPr>
            <w:rStyle w:val="Hyperlink"/>
          </w:rPr>
          <w:t>sstoltz@stoughtonhealth.com</w:t>
        </w:r>
      </w:hyperlink>
    </w:p>
    <w:p w14:paraId="077DE910" w14:textId="77777777" w:rsidR="00AB58A2" w:rsidRDefault="00AB58A2"/>
    <w:p w14:paraId="1B9FC45B" w14:textId="77777777" w:rsidR="00AB58A2" w:rsidRDefault="00AB58A2" w:rsidP="00AB58A2">
      <w:pPr>
        <w:rPr>
          <w:b/>
          <w:bCs/>
        </w:rPr>
      </w:pPr>
      <w:r w:rsidRPr="009D651F">
        <w:rPr>
          <w:b/>
          <w:bCs/>
        </w:rPr>
        <w:t>Request Changes to the Pump Library:</w:t>
      </w:r>
    </w:p>
    <w:p w14:paraId="5B3C8C55" w14:textId="77777777" w:rsidR="00AB58A2" w:rsidRDefault="00AB58A2" w:rsidP="00AB58A2">
      <w:pPr>
        <w:ind w:left="720"/>
      </w:pPr>
      <w:r>
        <w:t>Email Pauline, Pharmacy Manager &amp; Department Manager</w:t>
      </w:r>
    </w:p>
    <w:p w14:paraId="3CE07857" w14:textId="77777777" w:rsidR="00AB58A2" w:rsidRDefault="00AB58A2" w:rsidP="00AB58A2"/>
    <w:p w14:paraId="0A7564D2" w14:textId="77777777" w:rsidR="00AB58A2" w:rsidRDefault="00AB58A2" w:rsidP="00AB58A2">
      <w:pPr>
        <w:rPr>
          <w:b/>
          <w:bCs/>
        </w:rPr>
      </w:pPr>
      <w:r w:rsidRPr="006A1777">
        <w:rPr>
          <w:b/>
          <w:bCs/>
        </w:rPr>
        <w:t>If a Drug is not in the Pump Library</w:t>
      </w:r>
      <w:r>
        <w:rPr>
          <w:b/>
          <w:bCs/>
        </w:rPr>
        <w:t>:</w:t>
      </w:r>
    </w:p>
    <w:p w14:paraId="54A97D24" w14:textId="77777777" w:rsidR="00AB58A2" w:rsidRDefault="00AB58A2" w:rsidP="00AB58A2">
      <w:r>
        <w:rPr>
          <w:b/>
          <w:bCs/>
        </w:rPr>
        <w:tab/>
      </w:r>
      <w:r w:rsidRPr="00BF3078">
        <w:t>Can</w:t>
      </w:r>
      <w:r>
        <w:rPr>
          <w:b/>
          <w:bCs/>
        </w:rPr>
        <w:t xml:space="preserve"> </w:t>
      </w:r>
      <w:r>
        <w:t>Use Basic Infusion or Drug Calculator with a 2</w:t>
      </w:r>
      <w:r w:rsidRPr="00E17EBC">
        <w:rPr>
          <w:vertAlign w:val="superscript"/>
        </w:rPr>
        <w:t>nd</w:t>
      </w:r>
      <w:r>
        <w:t xml:space="preserve"> Nurse to Verify</w:t>
      </w:r>
    </w:p>
    <w:p w14:paraId="0532B868" w14:textId="77777777" w:rsidR="00AB58A2" w:rsidRPr="006A1777" w:rsidRDefault="00AB58A2" w:rsidP="00AB58A2">
      <w:r>
        <w:tab/>
        <w:t>Be Cautious-This is Not Best Practice</w:t>
      </w:r>
    </w:p>
    <w:p w14:paraId="05D91798" w14:textId="77777777" w:rsidR="00AB58A2" w:rsidRDefault="00AB58A2" w:rsidP="00AB58A2">
      <w:pPr>
        <w:ind w:left="720"/>
      </w:pPr>
      <w:r>
        <w:t>Email Pauline, Pharmacy Manager &amp; Department Manager</w:t>
      </w:r>
    </w:p>
    <w:p w14:paraId="6399B7E7" w14:textId="77777777" w:rsidR="00BC726A" w:rsidRDefault="00BC726A" w:rsidP="00AB58A2">
      <w:pPr>
        <w:ind w:left="720"/>
      </w:pPr>
    </w:p>
    <w:p w14:paraId="7FDC7E3E" w14:textId="77777777" w:rsidR="00BC726A" w:rsidRDefault="00BC726A" w:rsidP="00BC726A">
      <w:pPr>
        <w:rPr>
          <w:b/>
          <w:bCs/>
        </w:rPr>
      </w:pPr>
      <w:r w:rsidRPr="009F2BAD">
        <w:rPr>
          <w:b/>
          <w:bCs/>
        </w:rPr>
        <w:t>IV Pump Needs Service:</w:t>
      </w:r>
    </w:p>
    <w:p w14:paraId="48E418D1" w14:textId="77777777" w:rsidR="00BC726A" w:rsidRPr="002659E3" w:rsidRDefault="00BC726A" w:rsidP="00BC726A">
      <w:pPr>
        <w:pStyle w:val="ListParagraph"/>
        <w:numPr>
          <w:ilvl w:val="0"/>
          <w:numId w:val="4"/>
        </w:numPr>
      </w:pPr>
      <w:r>
        <w:t>View</w:t>
      </w:r>
      <w:r w:rsidRPr="002659E3">
        <w:t xml:space="preserve"> Quick Reference Guide for Troubleshooting Tips</w:t>
      </w:r>
    </w:p>
    <w:p w14:paraId="7198F359" w14:textId="77777777" w:rsidR="00BC726A" w:rsidRDefault="00BC726A" w:rsidP="00BC726A">
      <w:pPr>
        <w:pStyle w:val="ListParagraph"/>
        <w:numPr>
          <w:ilvl w:val="0"/>
          <w:numId w:val="4"/>
        </w:numPr>
      </w:pPr>
      <w:r>
        <w:t>EVS to Clean</w:t>
      </w:r>
    </w:p>
    <w:p w14:paraId="13BC8CFA" w14:textId="77777777" w:rsidR="00BC726A" w:rsidRDefault="00BC726A" w:rsidP="00BC726A">
      <w:pPr>
        <w:pStyle w:val="ListParagraph"/>
        <w:numPr>
          <w:ilvl w:val="0"/>
          <w:numId w:val="4"/>
        </w:numPr>
      </w:pPr>
      <w:r>
        <w:t>Bio Med Request</w:t>
      </w:r>
    </w:p>
    <w:p w14:paraId="419B5A1A" w14:textId="50471261" w:rsidR="00BC726A" w:rsidRDefault="00BC726A" w:rsidP="00BC726A">
      <w:pPr>
        <w:pStyle w:val="ListParagraph"/>
        <w:numPr>
          <w:ilvl w:val="0"/>
          <w:numId w:val="4"/>
        </w:numPr>
      </w:pPr>
      <w:r>
        <w:t>Biomed will reach out to Fresenius if Needed</w:t>
      </w:r>
    </w:p>
    <w:p w14:paraId="746AE354" w14:textId="77777777" w:rsidR="00AB58A2" w:rsidRDefault="00AB58A2" w:rsidP="00AB58A2">
      <w:pPr>
        <w:rPr>
          <w:b/>
          <w:bCs/>
        </w:rPr>
      </w:pPr>
    </w:p>
    <w:p w14:paraId="43A007CC" w14:textId="77777777" w:rsidR="00AB58A2" w:rsidRDefault="00AB58A2" w:rsidP="00AB58A2">
      <w:r>
        <w:rPr>
          <w:b/>
          <w:bCs/>
        </w:rPr>
        <w:t xml:space="preserve">Review Patient Care Safety Policy (Section 2 IV Fluids/Medications):  </w:t>
      </w:r>
      <w:hyperlink r:id="rId10" w:history="1">
        <w:r w:rsidRPr="00E74F27">
          <w:rPr>
            <w:rStyle w:val="Hyperlink"/>
            <w:b/>
            <w:bCs/>
          </w:rPr>
          <w:t>Safety.docx</w:t>
        </w:r>
      </w:hyperlink>
    </w:p>
    <w:p w14:paraId="21689A1E" w14:textId="77777777" w:rsidR="00AB58A2" w:rsidRDefault="00AB58A2" w:rsidP="00AB58A2"/>
    <w:p w14:paraId="32D00415" w14:textId="77777777" w:rsidR="00BC726A" w:rsidRDefault="00BC726A" w:rsidP="00AB58A2"/>
    <w:p w14:paraId="440F9444" w14:textId="77777777" w:rsidR="00BC726A" w:rsidRDefault="00BC726A" w:rsidP="00AB58A2"/>
    <w:p w14:paraId="3A6FFCB0" w14:textId="77777777" w:rsidR="00BC726A" w:rsidRDefault="00BC726A" w:rsidP="00AB58A2"/>
    <w:p w14:paraId="44ED2EDD" w14:textId="77777777" w:rsidR="00AB58A2" w:rsidRDefault="00AB58A2" w:rsidP="00AB58A2">
      <w:pPr>
        <w:rPr>
          <w:b/>
          <w:bCs/>
        </w:rPr>
      </w:pPr>
      <w:r w:rsidRPr="002D2491">
        <w:rPr>
          <w:b/>
          <w:bCs/>
        </w:rPr>
        <w:t>Infusion Tips:</w:t>
      </w:r>
    </w:p>
    <w:p w14:paraId="6D532A4E" w14:textId="77777777" w:rsidR="00A4726A" w:rsidRDefault="00A4726A" w:rsidP="00AB58A2">
      <w:pPr>
        <w:ind w:left="720"/>
      </w:pPr>
    </w:p>
    <w:p w14:paraId="442591C2" w14:textId="0E40F712" w:rsidR="00A4726A" w:rsidRDefault="00A4726A" w:rsidP="00AB58A2">
      <w:pPr>
        <w:ind w:left="720"/>
      </w:pPr>
      <w:r w:rsidRPr="00A4726A">
        <w:t>In most cases, the pump will walk you through troubleshooting.  Whenever in doubt, get a super user or 2nd nurse to verify.  Use the resources at top of FAQ, also available on Intranet.</w:t>
      </w:r>
    </w:p>
    <w:p w14:paraId="3D415404" w14:textId="77777777" w:rsidR="00A4726A" w:rsidRDefault="00A4726A" w:rsidP="00AB58A2">
      <w:pPr>
        <w:ind w:left="720"/>
      </w:pPr>
    </w:p>
    <w:p w14:paraId="5A2BB671" w14:textId="296288C4" w:rsidR="00AB58A2" w:rsidRDefault="00AB58A2" w:rsidP="00AB58A2">
      <w:pPr>
        <w:ind w:left="720"/>
      </w:pPr>
      <w:r w:rsidRPr="001D4233">
        <w:t xml:space="preserve">The primary tubing will run up to </w:t>
      </w:r>
      <w:r w:rsidRPr="00972FCA">
        <w:rPr>
          <w:b/>
          <w:bCs/>
        </w:rPr>
        <w:t>2L/</w:t>
      </w:r>
      <w:proofErr w:type="spellStart"/>
      <w:r w:rsidRPr="00972FCA">
        <w:rPr>
          <w:b/>
          <w:bCs/>
        </w:rPr>
        <w:t>hr</w:t>
      </w:r>
      <w:proofErr w:type="spellEnd"/>
      <w:r w:rsidRPr="00972FCA">
        <w:rPr>
          <w:b/>
          <w:bCs/>
        </w:rPr>
        <w:t xml:space="preserve"> via gravity</w:t>
      </w:r>
      <w:r w:rsidRPr="001D4233">
        <w:t>.</w:t>
      </w:r>
    </w:p>
    <w:p w14:paraId="5A02E4F1" w14:textId="77777777" w:rsidR="00AB58A2" w:rsidRPr="001D4233" w:rsidRDefault="00AB58A2" w:rsidP="00AB58A2">
      <w:pPr>
        <w:ind w:left="720"/>
      </w:pPr>
    </w:p>
    <w:p w14:paraId="3C15CDDD" w14:textId="77777777" w:rsidR="00AB58A2" w:rsidRDefault="00AB58A2" w:rsidP="00AB58A2">
      <w:pPr>
        <w:ind w:left="720"/>
      </w:pPr>
      <w:r>
        <w:t xml:space="preserve">The primary tubing does not have a </w:t>
      </w:r>
      <w:r w:rsidRPr="00972FCA">
        <w:rPr>
          <w:b/>
          <w:bCs/>
        </w:rPr>
        <w:t>back check valve</w:t>
      </w:r>
      <w:r>
        <w:t>:</w:t>
      </w:r>
      <w:r w:rsidRPr="00725C67">
        <w:t xml:space="preserve"> </w:t>
      </w:r>
      <w:r>
        <w:t xml:space="preserve"> </w:t>
      </w:r>
    </w:p>
    <w:p w14:paraId="2B8768BC" w14:textId="77777777" w:rsidR="00AB58A2" w:rsidRDefault="00AB58A2" w:rsidP="00AB58A2">
      <w:pPr>
        <w:ind w:left="1440"/>
      </w:pPr>
      <w:r>
        <w:t xml:space="preserve">When using the </w:t>
      </w:r>
      <w:proofErr w:type="spellStart"/>
      <w:r>
        <w:t>Ivenix</w:t>
      </w:r>
      <w:proofErr w:type="spellEnd"/>
      <w:r>
        <w:t xml:space="preserve"> Pump, the primary and secondary bag can be hung at the same height, because the cassette controls the infusion.  If infused via gravity, you will need the hanger that comes with the secondary tubing.  If you run a primary infusion via gravity with a secondary set still attached, be sure to clamp the secondary line or it can backflow and contaminate your primary bag.</w:t>
      </w:r>
    </w:p>
    <w:p w14:paraId="04C9B8C9" w14:textId="77777777" w:rsidR="00AB58A2" w:rsidRDefault="00AB58A2" w:rsidP="00AB58A2">
      <w:pPr>
        <w:ind w:left="720"/>
      </w:pPr>
    </w:p>
    <w:p w14:paraId="49C2AB3F" w14:textId="77777777" w:rsidR="00AB58A2" w:rsidRDefault="00AB58A2" w:rsidP="00AB58A2">
      <w:pPr>
        <w:ind w:left="1440"/>
      </w:pPr>
      <w:r>
        <w:t xml:space="preserve">When giving an </w:t>
      </w:r>
      <w:r w:rsidRPr="00972FCA">
        <w:rPr>
          <w:b/>
          <w:bCs/>
        </w:rPr>
        <w:t>IV Push Medication</w:t>
      </w:r>
      <w:r>
        <w:t>, you will need to pinch the line above your push.  This will prevent your IV Push Medication from back flowing up the line.</w:t>
      </w:r>
    </w:p>
    <w:p w14:paraId="4C305A84" w14:textId="77777777" w:rsidR="00AB58A2" w:rsidRDefault="00AB58A2" w:rsidP="00AB58A2">
      <w:pPr>
        <w:ind w:left="720"/>
      </w:pPr>
    </w:p>
    <w:p w14:paraId="760D507E" w14:textId="77777777" w:rsidR="00AB58A2" w:rsidRDefault="00AB58A2" w:rsidP="00AB58A2">
      <w:pPr>
        <w:ind w:left="720"/>
      </w:pPr>
      <w:r>
        <w:t xml:space="preserve">Use the </w:t>
      </w:r>
      <w:r w:rsidRPr="00972FCA">
        <w:rPr>
          <w:b/>
          <w:bCs/>
        </w:rPr>
        <w:t xml:space="preserve">back prime button </w:t>
      </w:r>
      <w:r w:rsidRPr="00972FCA">
        <w:t>every</w:t>
      </w:r>
      <w:r>
        <w:t xml:space="preserve"> time you attach a secondary or syringe infusion to remove the air in the connection port.</w:t>
      </w:r>
    </w:p>
    <w:p w14:paraId="77D5EA1B" w14:textId="77777777" w:rsidR="00AB58A2" w:rsidRDefault="00AB58A2" w:rsidP="00AB58A2">
      <w:pPr>
        <w:ind w:left="720"/>
      </w:pPr>
    </w:p>
    <w:p w14:paraId="64830338" w14:textId="77777777" w:rsidR="00AB58A2" w:rsidRDefault="00AB58A2" w:rsidP="00AB58A2">
      <w:pPr>
        <w:ind w:left="720"/>
      </w:pPr>
      <w:r>
        <w:t xml:space="preserve">Do not back prime into a </w:t>
      </w:r>
      <w:r w:rsidRPr="00972FCA">
        <w:rPr>
          <w:b/>
          <w:bCs/>
        </w:rPr>
        <w:t>glass bottle</w:t>
      </w:r>
      <w:r>
        <w:t>, as it’s too much pressure.  Back prime the secondary tubing to the drip chamber, then spike your glass bottle.</w:t>
      </w:r>
    </w:p>
    <w:p w14:paraId="111F6D76" w14:textId="77777777" w:rsidR="00AB58A2" w:rsidRDefault="00AB58A2" w:rsidP="00AB58A2"/>
    <w:p w14:paraId="7DB713D7" w14:textId="77777777" w:rsidR="00AB58A2" w:rsidRDefault="00AB58A2" w:rsidP="00AB58A2">
      <w:pPr>
        <w:ind w:left="720"/>
      </w:pPr>
      <w:r>
        <w:t xml:space="preserve">If secondary tubing is getting </w:t>
      </w:r>
      <w:r w:rsidRPr="00972FCA">
        <w:rPr>
          <w:b/>
          <w:bCs/>
        </w:rPr>
        <w:t>kinked</w:t>
      </w:r>
      <w:r>
        <w:t xml:space="preserve"> at the top of the cassette, lower your roller clamp to the bottom to keep it straight.</w:t>
      </w:r>
    </w:p>
    <w:p w14:paraId="73812659" w14:textId="77777777" w:rsidR="00AB58A2" w:rsidRDefault="00AB58A2" w:rsidP="00AB58A2"/>
    <w:p w14:paraId="3CA91F4A" w14:textId="77777777" w:rsidR="00AB58A2" w:rsidRDefault="00AB58A2" w:rsidP="00AB58A2">
      <w:pPr>
        <w:ind w:left="720"/>
      </w:pPr>
      <w:r w:rsidRPr="00C706A7">
        <w:rPr>
          <w:b/>
          <w:bCs/>
          <w:color w:val="FF0000"/>
        </w:rPr>
        <w:t>Caution.</w:t>
      </w:r>
      <w:r w:rsidRPr="00C706A7">
        <w:rPr>
          <w:color w:val="FF0000"/>
        </w:rPr>
        <w:t xml:space="preserve">  </w:t>
      </w:r>
      <w:r>
        <w:t xml:space="preserve">When setting up the volume of a secondary infusion, there are 2 options: </w:t>
      </w:r>
      <w:r w:rsidRPr="00972FCA">
        <w:rPr>
          <w:b/>
          <w:bCs/>
        </w:rPr>
        <w:t>Infuse VTBI or Until Empty.</w:t>
      </w:r>
      <w:r>
        <w:rPr>
          <w:b/>
          <w:bCs/>
        </w:rPr>
        <w:t xml:space="preserve">  </w:t>
      </w:r>
      <w:r w:rsidRPr="00D06683">
        <w:t>This setting will depend on your order and the type of infusion.</w:t>
      </w:r>
    </w:p>
    <w:p w14:paraId="3F223692" w14:textId="77777777" w:rsidR="00AB58A2" w:rsidRDefault="00AB58A2" w:rsidP="00AB58A2">
      <w:pPr>
        <w:ind w:left="720"/>
      </w:pPr>
    </w:p>
    <w:p w14:paraId="1E944CF8" w14:textId="77777777" w:rsidR="00AB58A2" w:rsidRDefault="00AB58A2" w:rsidP="00AB58A2">
      <w:pPr>
        <w:ind w:left="720"/>
      </w:pPr>
      <w:r>
        <w:t xml:space="preserve">Set up your primary first, then pause it and set up your secondary.  This will give you an option of automatically following your secondary with the primary bag or making a </w:t>
      </w:r>
      <w:r w:rsidRPr="00972FCA">
        <w:rPr>
          <w:b/>
          <w:bCs/>
        </w:rPr>
        <w:t>callback</w:t>
      </w:r>
      <w:r>
        <w:t>.</w:t>
      </w:r>
    </w:p>
    <w:p w14:paraId="3A5975F9" w14:textId="77777777" w:rsidR="00AB58A2" w:rsidRDefault="00AB58A2" w:rsidP="00AB58A2">
      <w:pPr>
        <w:ind w:left="720"/>
      </w:pPr>
    </w:p>
    <w:p w14:paraId="150FADEC" w14:textId="77777777" w:rsidR="00AB58A2" w:rsidRDefault="00AB58A2" w:rsidP="00AB58A2">
      <w:pPr>
        <w:ind w:left="720"/>
      </w:pPr>
      <w:r>
        <w:t xml:space="preserve">The </w:t>
      </w:r>
      <w:r w:rsidRPr="00972FCA">
        <w:rPr>
          <w:b/>
          <w:bCs/>
        </w:rPr>
        <w:t>bolus</w:t>
      </w:r>
      <w:r>
        <w:t xml:space="preserve"> setting is pulling from the primary bag.  Your primary volume needs to include the amount you’re using for the bolus, or the pump will prompt you that you don’t have enough fluid for the bolus.</w:t>
      </w:r>
    </w:p>
    <w:p w14:paraId="158FEFC2" w14:textId="77777777" w:rsidR="00AB58A2" w:rsidRDefault="00AB58A2" w:rsidP="00AB58A2"/>
    <w:p w14:paraId="4DEDA1B8" w14:textId="77777777" w:rsidR="00AB58A2" w:rsidRDefault="00AB58A2" w:rsidP="00AB58A2">
      <w:pPr>
        <w:ind w:left="720"/>
      </w:pPr>
      <w:r w:rsidRPr="00A4726A">
        <w:rPr>
          <w:b/>
          <w:bCs/>
        </w:rPr>
        <w:t>Infusing Blood</w:t>
      </w:r>
      <w:r>
        <w:t xml:space="preserve">: Red Cap &amp; Filter is for Blood.  Instructions for use on package.  Blood </w:t>
      </w:r>
      <w:proofErr w:type="spellStart"/>
      <w:r>
        <w:t>can not</w:t>
      </w:r>
      <w:proofErr w:type="spellEnd"/>
      <w:r>
        <w:t xml:space="preserve"> be infused faster than 500 mL/</w:t>
      </w:r>
      <w:proofErr w:type="spellStart"/>
      <w:r>
        <w:t>hr</w:t>
      </w:r>
      <w:proofErr w:type="spellEnd"/>
      <w:r>
        <w:t xml:space="preserve"> on </w:t>
      </w:r>
      <w:proofErr w:type="spellStart"/>
      <w:r>
        <w:t>Ivenix</w:t>
      </w:r>
      <w:proofErr w:type="spellEnd"/>
      <w:r>
        <w:t xml:space="preserve"> Pumps, as it can break down the Red Blood Cells.</w:t>
      </w:r>
    </w:p>
    <w:p w14:paraId="3061EB2F" w14:textId="77777777" w:rsidR="00AB58A2" w:rsidRDefault="00AB58A2" w:rsidP="00AB58A2">
      <w:r>
        <w:tab/>
      </w:r>
    </w:p>
    <w:p w14:paraId="57DAC813" w14:textId="77777777" w:rsidR="00AB58A2" w:rsidRDefault="00AB58A2" w:rsidP="00AB58A2">
      <w:pPr>
        <w:ind w:left="720"/>
      </w:pPr>
      <w:r>
        <w:rPr>
          <w:b/>
          <w:bCs/>
        </w:rPr>
        <w:t xml:space="preserve">Program and Hold </w:t>
      </w:r>
      <w:r w:rsidRPr="00352D40">
        <w:t>(Avoids 2 min Callback Alarm):</w:t>
      </w:r>
      <w:r>
        <w:t xml:space="preserve"> Program your Primary Infusion.  Rather than hitting the start button, press the power button and select shut down.  When you turn the pump back on, the previously programmed infusion will return.</w:t>
      </w:r>
    </w:p>
    <w:p w14:paraId="0C2798F3" w14:textId="77777777" w:rsidR="00BC726A" w:rsidRDefault="00BC726A" w:rsidP="00AB58A2">
      <w:pPr>
        <w:ind w:left="720"/>
      </w:pPr>
    </w:p>
    <w:p w14:paraId="775DDF19" w14:textId="77777777" w:rsidR="00BC726A" w:rsidRDefault="00BC726A" w:rsidP="00AB58A2">
      <w:pPr>
        <w:ind w:left="720"/>
      </w:pPr>
    </w:p>
    <w:p w14:paraId="51F87232" w14:textId="77777777" w:rsidR="00BC726A" w:rsidRDefault="00BC726A" w:rsidP="00AB58A2">
      <w:pPr>
        <w:ind w:left="720"/>
      </w:pPr>
    </w:p>
    <w:p w14:paraId="71A996FF" w14:textId="77777777" w:rsidR="00BC726A" w:rsidRDefault="00BC726A" w:rsidP="00AB58A2">
      <w:pPr>
        <w:ind w:left="720"/>
      </w:pPr>
    </w:p>
    <w:p w14:paraId="71C1D882" w14:textId="77777777" w:rsidR="00BC726A" w:rsidRDefault="00BC726A" w:rsidP="00AB58A2">
      <w:pPr>
        <w:ind w:left="720"/>
      </w:pPr>
    </w:p>
    <w:p w14:paraId="4FA4F08A" w14:textId="77777777" w:rsidR="00BC726A" w:rsidRDefault="00BC726A" w:rsidP="00AB58A2">
      <w:pPr>
        <w:ind w:left="720"/>
      </w:pPr>
    </w:p>
    <w:p w14:paraId="59002783" w14:textId="77777777" w:rsidR="00AB58A2" w:rsidRDefault="00AB58A2"/>
    <w:p w14:paraId="224EDB7F" w14:textId="77777777" w:rsidR="00A91D62" w:rsidRPr="000B0700" w:rsidRDefault="00A91D62" w:rsidP="00A91D62">
      <w:pPr>
        <w:rPr>
          <w:b/>
          <w:bCs/>
        </w:rPr>
      </w:pPr>
      <w:r w:rsidRPr="000B0700">
        <w:rPr>
          <w:b/>
          <w:bCs/>
        </w:rPr>
        <w:t>A Check Valve may help with the following Bubbly Medications:</w:t>
      </w:r>
    </w:p>
    <w:tbl>
      <w:tblPr>
        <w:tblStyle w:val="TableGrid"/>
        <w:tblW w:w="8658" w:type="dxa"/>
        <w:tblInd w:w="3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88"/>
        <w:gridCol w:w="3870"/>
      </w:tblGrid>
      <w:tr w:rsidR="00A91D62" w:rsidRPr="006A4530" w14:paraId="053BFD27" w14:textId="77777777" w:rsidTr="00B612A1">
        <w:tc>
          <w:tcPr>
            <w:tcW w:w="4788" w:type="dxa"/>
          </w:tcPr>
          <w:p w14:paraId="46475434"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Abatacept</w:t>
            </w:r>
          </w:p>
        </w:tc>
        <w:tc>
          <w:tcPr>
            <w:tcW w:w="3870" w:type="dxa"/>
          </w:tcPr>
          <w:p w14:paraId="39762A27"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Albumin</w:t>
            </w:r>
          </w:p>
        </w:tc>
      </w:tr>
      <w:tr w:rsidR="00A91D62" w:rsidRPr="006A4530" w14:paraId="0EFEC861" w14:textId="77777777" w:rsidTr="00B612A1">
        <w:tc>
          <w:tcPr>
            <w:tcW w:w="4788" w:type="dxa"/>
          </w:tcPr>
          <w:p w14:paraId="696B729E"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Amino Acids 8.4%</w:t>
            </w:r>
          </w:p>
        </w:tc>
        <w:tc>
          <w:tcPr>
            <w:tcW w:w="3870" w:type="dxa"/>
          </w:tcPr>
          <w:p w14:paraId="5A19131B"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Amiodarone (if previously refrigerated)</w:t>
            </w:r>
          </w:p>
        </w:tc>
      </w:tr>
      <w:tr w:rsidR="00A91D62" w:rsidRPr="006A4530" w14:paraId="69DD0F48" w14:textId="77777777" w:rsidTr="00B612A1">
        <w:tc>
          <w:tcPr>
            <w:tcW w:w="4788" w:type="dxa"/>
          </w:tcPr>
          <w:p w14:paraId="5F59F559"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Cefepime (if previously refrigerated)</w:t>
            </w:r>
          </w:p>
        </w:tc>
        <w:tc>
          <w:tcPr>
            <w:tcW w:w="3870" w:type="dxa"/>
          </w:tcPr>
          <w:p w14:paraId="19263572" w14:textId="77777777" w:rsidR="00A91D62" w:rsidRPr="006A4530" w:rsidRDefault="00A91D62" w:rsidP="00B612A1">
            <w:pPr>
              <w:pStyle w:val="NoSpacing"/>
              <w:rPr>
                <w:rFonts w:eastAsia="Times New Roman"/>
                <w:sz w:val="22"/>
                <w:szCs w:val="22"/>
                <w:shd w:val="clear" w:color="auto" w:fill="FFFFFF"/>
              </w:rPr>
            </w:pPr>
            <w:proofErr w:type="spellStart"/>
            <w:r w:rsidRPr="006A4530">
              <w:rPr>
                <w:rFonts w:eastAsia="Times New Roman"/>
                <w:color w:val="000000"/>
                <w:sz w:val="22"/>
                <w:szCs w:val="22"/>
                <w:shd w:val="clear" w:color="auto" w:fill="FFFFFF"/>
              </w:rPr>
              <w:t>Clevidipine</w:t>
            </w:r>
            <w:proofErr w:type="spellEnd"/>
          </w:p>
        </w:tc>
      </w:tr>
      <w:tr w:rsidR="00A91D62" w:rsidRPr="006A4530" w14:paraId="5B9B1BA7" w14:textId="77777777" w:rsidTr="00B612A1">
        <w:tc>
          <w:tcPr>
            <w:tcW w:w="4788" w:type="dxa"/>
          </w:tcPr>
          <w:p w14:paraId="60A03830"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Daptomycin</w:t>
            </w:r>
          </w:p>
        </w:tc>
        <w:tc>
          <w:tcPr>
            <w:tcW w:w="3870" w:type="dxa"/>
          </w:tcPr>
          <w:p w14:paraId="7D986D04"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Doxycycline</w:t>
            </w:r>
            <w:r>
              <w:rPr>
                <w:rFonts w:eastAsia="Times New Roman"/>
                <w:color w:val="000000"/>
                <w:sz w:val="22"/>
                <w:szCs w:val="22"/>
                <w:shd w:val="clear" w:color="auto" w:fill="FFFFFF"/>
              </w:rPr>
              <w:t xml:space="preserve"> </w:t>
            </w:r>
            <w:r w:rsidRPr="006A4530">
              <w:rPr>
                <w:rFonts w:eastAsia="Times New Roman"/>
                <w:color w:val="000000"/>
                <w:sz w:val="22"/>
                <w:szCs w:val="22"/>
                <w:shd w:val="clear" w:color="auto" w:fill="FFFFFF"/>
              </w:rPr>
              <w:t>Etoposide</w:t>
            </w:r>
          </w:p>
        </w:tc>
      </w:tr>
      <w:tr w:rsidR="00A91D62" w:rsidRPr="006A4530" w14:paraId="0BBC4AA3" w14:textId="77777777" w:rsidTr="00B612A1">
        <w:tc>
          <w:tcPr>
            <w:tcW w:w="4788" w:type="dxa"/>
          </w:tcPr>
          <w:p w14:paraId="6880B067"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IVIG</w:t>
            </w:r>
          </w:p>
        </w:tc>
        <w:tc>
          <w:tcPr>
            <w:tcW w:w="3870" w:type="dxa"/>
          </w:tcPr>
          <w:p w14:paraId="2BFC5E59"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IVF w/ bicarbonate</w:t>
            </w:r>
          </w:p>
        </w:tc>
      </w:tr>
      <w:tr w:rsidR="00A91D62" w:rsidRPr="006A4530" w14:paraId="4E890B3C" w14:textId="77777777" w:rsidTr="00B612A1">
        <w:tc>
          <w:tcPr>
            <w:tcW w:w="4788" w:type="dxa"/>
          </w:tcPr>
          <w:p w14:paraId="5187FB92"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Lipids PPN</w:t>
            </w:r>
          </w:p>
        </w:tc>
        <w:tc>
          <w:tcPr>
            <w:tcW w:w="3870" w:type="dxa"/>
          </w:tcPr>
          <w:p w14:paraId="68CAFE42"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Lipids TPN</w:t>
            </w:r>
          </w:p>
        </w:tc>
      </w:tr>
      <w:tr w:rsidR="00A91D62" w:rsidRPr="006A4530" w14:paraId="219B9AC2" w14:textId="77777777" w:rsidTr="00B612A1">
        <w:tc>
          <w:tcPr>
            <w:tcW w:w="4788" w:type="dxa"/>
          </w:tcPr>
          <w:p w14:paraId="7A80CDCB"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Methylprednisolone</w:t>
            </w:r>
          </w:p>
        </w:tc>
        <w:tc>
          <w:tcPr>
            <w:tcW w:w="3870" w:type="dxa"/>
          </w:tcPr>
          <w:p w14:paraId="3A63CC26"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Micafungin</w:t>
            </w:r>
          </w:p>
        </w:tc>
      </w:tr>
      <w:tr w:rsidR="00A91D62" w:rsidRPr="006A4530" w14:paraId="4AE986F2" w14:textId="77777777" w:rsidTr="00B612A1">
        <w:tc>
          <w:tcPr>
            <w:tcW w:w="4788" w:type="dxa"/>
          </w:tcPr>
          <w:p w14:paraId="698CCCDB"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Ocrelizumab</w:t>
            </w:r>
          </w:p>
        </w:tc>
        <w:tc>
          <w:tcPr>
            <w:tcW w:w="3870" w:type="dxa"/>
          </w:tcPr>
          <w:p w14:paraId="599BD93B"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Paclitaxel</w:t>
            </w:r>
          </w:p>
        </w:tc>
      </w:tr>
      <w:tr w:rsidR="00A91D62" w:rsidRPr="006A4530" w14:paraId="4F045CF1" w14:textId="77777777" w:rsidTr="00B612A1">
        <w:tc>
          <w:tcPr>
            <w:tcW w:w="4788" w:type="dxa"/>
          </w:tcPr>
          <w:p w14:paraId="7BEADBEF"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Propofol</w:t>
            </w:r>
          </w:p>
        </w:tc>
        <w:tc>
          <w:tcPr>
            <w:tcW w:w="3870" w:type="dxa"/>
          </w:tcPr>
          <w:p w14:paraId="7C0460D9"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PPN</w:t>
            </w:r>
          </w:p>
        </w:tc>
      </w:tr>
      <w:tr w:rsidR="00A91D62" w:rsidRPr="006A4530" w14:paraId="0CB1D0EC" w14:textId="77777777" w:rsidTr="00B612A1">
        <w:tc>
          <w:tcPr>
            <w:tcW w:w="4788" w:type="dxa"/>
          </w:tcPr>
          <w:p w14:paraId="756E69FB"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Rituxan</w:t>
            </w:r>
          </w:p>
        </w:tc>
        <w:tc>
          <w:tcPr>
            <w:tcW w:w="3870" w:type="dxa"/>
          </w:tcPr>
          <w:p w14:paraId="27E4B99F" w14:textId="77777777" w:rsidR="00A91D62" w:rsidRPr="00DB6A80" w:rsidRDefault="00A91D62" w:rsidP="00B612A1">
            <w:pPr>
              <w:rPr>
                <w:rFonts w:eastAsia="Times New Roman"/>
              </w:rPr>
            </w:pPr>
            <w:r w:rsidRPr="00DB6A80">
              <w:rPr>
                <w:rFonts w:eastAsia="Times New Roman"/>
                <w:color w:val="000000"/>
                <w:shd w:val="clear" w:color="auto" w:fill="FFFFFF"/>
              </w:rPr>
              <w:t>TPN</w:t>
            </w:r>
            <w:r w:rsidRPr="00DB6A80">
              <w:rPr>
                <w:rFonts w:eastAsia="Times New Roman"/>
              </w:rPr>
              <w:t xml:space="preserve">8.4% </w:t>
            </w:r>
          </w:p>
        </w:tc>
      </w:tr>
      <w:tr w:rsidR="00A91D62" w:rsidRPr="006A4530" w14:paraId="014308C2" w14:textId="77777777" w:rsidTr="00B612A1">
        <w:tc>
          <w:tcPr>
            <w:tcW w:w="4788" w:type="dxa"/>
          </w:tcPr>
          <w:p w14:paraId="1CA89E24" w14:textId="77777777" w:rsidR="00A91D62" w:rsidRPr="00DB6A80" w:rsidRDefault="00A91D62" w:rsidP="00B612A1">
            <w:pPr>
              <w:rPr>
                <w:rFonts w:eastAsia="Times New Roman"/>
              </w:rPr>
            </w:pPr>
            <w:r w:rsidRPr="00DB6A80">
              <w:rPr>
                <w:rFonts w:eastAsia="Times New Roman"/>
              </w:rPr>
              <w:t>Sodium bicarbonate (if previously refrigerated)</w:t>
            </w:r>
          </w:p>
        </w:tc>
        <w:tc>
          <w:tcPr>
            <w:tcW w:w="3870" w:type="dxa"/>
          </w:tcPr>
          <w:p w14:paraId="0BC78B98"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Vancomycin</w:t>
            </w:r>
          </w:p>
        </w:tc>
      </w:tr>
      <w:tr w:rsidR="00A91D62" w:rsidRPr="006A4530" w14:paraId="6C303054" w14:textId="77777777" w:rsidTr="00B612A1">
        <w:tc>
          <w:tcPr>
            <w:tcW w:w="4788" w:type="dxa"/>
          </w:tcPr>
          <w:p w14:paraId="03B3B958" w14:textId="77777777" w:rsidR="00A91D62" w:rsidRPr="006A4530" w:rsidRDefault="00A91D62" w:rsidP="00B612A1">
            <w:pPr>
              <w:pStyle w:val="NoSpacing"/>
              <w:rPr>
                <w:rFonts w:eastAsia="Times New Roman"/>
                <w:sz w:val="22"/>
                <w:szCs w:val="22"/>
                <w:shd w:val="clear" w:color="auto" w:fill="FFFFFF"/>
              </w:rPr>
            </w:pPr>
            <w:r w:rsidRPr="006A4530">
              <w:rPr>
                <w:rFonts w:eastAsia="Times New Roman"/>
                <w:color w:val="000000"/>
                <w:sz w:val="22"/>
                <w:szCs w:val="22"/>
                <w:shd w:val="clear" w:color="auto" w:fill="FFFFFF"/>
              </w:rPr>
              <w:t>Zosyn</w:t>
            </w:r>
          </w:p>
        </w:tc>
        <w:tc>
          <w:tcPr>
            <w:tcW w:w="3870" w:type="dxa"/>
          </w:tcPr>
          <w:p w14:paraId="20DA27A9" w14:textId="77777777" w:rsidR="00A91D62" w:rsidRPr="006A4530" w:rsidRDefault="00A91D62" w:rsidP="00B612A1">
            <w:pPr>
              <w:pStyle w:val="NoSpacing"/>
              <w:ind w:left="1080"/>
              <w:rPr>
                <w:rFonts w:eastAsia="Times New Roman"/>
                <w:sz w:val="22"/>
                <w:szCs w:val="22"/>
                <w:shd w:val="clear" w:color="auto" w:fill="FFFFFF"/>
              </w:rPr>
            </w:pPr>
          </w:p>
        </w:tc>
      </w:tr>
    </w:tbl>
    <w:p w14:paraId="0FBAEE55" w14:textId="77777777" w:rsidR="00A91D62" w:rsidRDefault="00A91D62" w:rsidP="00A91D62"/>
    <w:p w14:paraId="1155ECA7" w14:textId="77777777" w:rsidR="00A91D62" w:rsidRDefault="00A91D62" w:rsidP="00A91D62">
      <w:r>
        <w:t>The Check Valve should be placed at the distal end of the primary line, nearest to the patient.</w:t>
      </w:r>
    </w:p>
    <w:p w14:paraId="286477DE" w14:textId="77777777" w:rsidR="00A91D62" w:rsidRDefault="00A91D62" w:rsidP="00A91D62">
      <w:r>
        <w:t>The Check Valve works best if applied prior to starting the infusion.</w:t>
      </w:r>
    </w:p>
    <w:p w14:paraId="31575824" w14:textId="77777777" w:rsidR="00A91D62" w:rsidRDefault="00A91D62" w:rsidP="00A91D62">
      <w:r>
        <w:t>A Check Valve cannot be used when running IVF via Gravity.</w:t>
      </w:r>
    </w:p>
    <w:p w14:paraId="3F60507B" w14:textId="77777777" w:rsidR="005E2699" w:rsidRDefault="005E2699"/>
    <w:p w14:paraId="633F6CA7" w14:textId="77777777" w:rsidR="00BC726A" w:rsidRDefault="00BC726A"/>
    <w:p w14:paraId="6EB28179" w14:textId="77777777" w:rsidR="00BC726A" w:rsidRDefault="00BC726A"/>
    <w:p w14:paraId="21AA8745" w14:textId="77777777" w:rsidR="00BB0D8D" w:rsidRPr="00BB0D8D" w:rsidRDefault="00BB0D8D" w:rsidP="00BB0D8D">
      <w:pPr>
        <w:rPr>
          <w:b/>
          <w:bCs/>
        </w:rPr>
      </w:pPr>
      <w:r w:rsidRPr="00BB0D8D">
        <w:rPr>
          <w:b/>
          <w:bCs/>
        </w:rPr>
        <w:t>Fresenius Contact Reps:</w:t>
      </w:r>
    </w:p>
    <w:p w14:paraId="16611596" w14:textId="12AE4911" w:rsidR="00823B5F" w:rsidRPr="00823B5F" w:rsidRDefault="00260DAF" w:rsidP="004F3F46">
      <w:r w:rsidRPr="00823B5F">
        <w:t xml:space="preserve">Clinical Implementation </w:t>
      </w:r>
      <w:r w:rsidR="00B45426">
        <w:t>Specialist</w:t>
      </w:r>
      <w:r w:rsidRPr="00823B5F">
        <w:t xml:space="preserve"> </w:t>
      </w:r>
      <w:r>
        <w:t xml:space="preserve">  </w:t>
      </w:r>
      <w:hyperlink r:id="rId11" w:history="1">
        <w:r w:rsidRPr="00823B5F">
          <w:rPr>
            <w:rStyle w:val="Hyperlink"/>
          </w:rPr>
          <w:t>Cindy.gilmer@fresenius-kabi.com</w:t>
        </w:r>
      </w:hyperlink>
    </w:p>
    <w:p w14:paraId="4B06BDD5" w14:textId="00101FAE" w:rsidR="00D5305A" w:rsidRPr="00D5305A" w:rsidRDefault="004F3F46" w:rsidP="004F3F46">
      <w:r>
        <w:t>Pharmacy Implementation Specialist</w:t>
      </w:r>
      <w:r w:rsidR="0040560A">
        <w:t xml:space="preserve"> </w:t>
      </w:r>
      <w:r w:rsidR="00260DAF" w:rsidRPr="00D5305A">
        <w:t xml:space="preserve"> </w:t>
      </w:r>
      <w:hyperlink r:id="rId12" w:history="1">
        <w:r w:rsidR="00D5305A" w:rsidRPr="00D5305A">
          <w:rPr>
            <w:rStyle w:val="Hyperlink"/>
          </w:rPr>
          <w:t>Stephanie.Helgeson@fresenius-com</w:t>
        </w:r>
      </w:hyperlink>
    </w:p>
    <w:p w14:paraId="53693117" w14:textId="3FBABA82" w:rsidR="00D5305A" w:rsidRDefault="000953C7" w:rsidP="004F3F46">
      <w:r>
        <w:t>Senior</w:t>
      </w:r>
      <w:r w:rsidR="00260DAF" w:rsidRPr="00D5305A">
        <w:t xml:space="preserve"> Account Executive </w:t>
      </w:r>
      <w:r w:rsidR="0040560A">
        <w:t xml:space="preserve"> </w:t>
      </w:r>
      <w:hyperlink r:id="rId13" w:history="1">
        <w:r w:rsidR="0040560A" w:rsidRPr="00D5305A">
          <w:rPr>
            <w:rStyle w:val="Hyperlink"/>
          </w:rPr>
          <w:t>Eric.Klink@fresenius-kabi.com</w:t>
        </w:r>
      </w:hyperlink>
    </w:p>
    <w:p w14:paraId="40EEC7AF" w14:textId="7991F67F" w:rsidR="00936256" w:rsidRPr="00936256" w:rsidRDefault="00260DAF" w:rsidP="004F3F46">
      <w:r w:rsidRPr="00936256">
        <w:t>Account Executive</w:t>
      </w:r>
      <w:r w:rsidR="0040560A">
        <w:t xml:space="preserve"> </w:t>
      </w:r>
      <w:r w:rsidRPr="00936256">
        <w:t xml:space="preserve"> </w:t>
      </w:r>
      <w:hyperlink r:id="rId14" w:history="1">
        <w:r w:rsidR="00936256" w:rsidRPr="00936256">
          <w:rPr>
            <w:rStyle w:val="Hyperlink"/>
          </w:rPr>
          <w:t>Alan.Persinger@fresenius-kabi.com</w:t>
        </w:r>
      </w:hyperlink>
    </w:p>
    <w:p w14:paraId="60601C65" w14:textId="40C741BF" w:rsidR="009E11FE" w:rsidRDefault="009E11FE" w:rsidP="004F3F46">
      <w:r>
        <w:t xml:space="preserve">Sr. Technical Services Engineer (IT)  </w:t>
      </w:r>
      <w:hyperlink r:id="rId15" w:history="1">
        <w:r w:rsidRPr="001F7FAC">
          <w:rPr>
            <w:rStyle w:val="Hyperlink"/>
          </w:rPr>
          <w:t>Ricardo.Pina@fresenius-kabi.com</w:t>
        </w:r>
      </w:hyperlink>
    </w:p>
    <w:p w14:paraId="7DE740B5" w14:textId="77777777" w:rsidR="009E11FE" w:rsidRDefault="009E11FE" w:rsidP="009E11FE">
      <w:r>
        <w:t>Medical Affairs</w:t>
      </w:r>
      <w:r w:rsidRPr="00D5305A">
        <w:t> </w:t>
      </w:r>
      <w:r>
        <w:t xml:space="preserve"> </w:t>
      </w:r>
      <w:r w:rsidRPr="00D5305A">
        <w:t xml:space="preserve"> </w:t>
      </w:r>
      <w:hyperlink r:id="rId16" w:history="1">
        <w:r w:rsidRPr="00260DAF">
          <w:rPr>
            <w:rStyle w:val="Hyperlink"/>
          </w:rPr>
          <w:t>Infusion.medinfo.USA@fresenius-kabi.com</w:t>
        </w:r>
      </w:hyperlink>
    </w:p>
    <w:p w14:paraId="597F8486" w14:textId="77777777" w:rsidR="007675E8" w:rsidRDefault="007675E8">
      <w:pPr>
        <w:rPr>
          <w:rStyle w:val="ui-provider"/>
        </w:rPr>
      </w:pPr>
    </w:p>
    <w:p w14:paraId="12DA7DB5" w14:textId="40E74074" w:rsidR="00BC726A" w:rsidRPr="00BC726A" w:rsidRDefault="00BC726A" w:rsidP="00BC726A">
      <w:r w:rsidRPr="00BC726A">
        <w:t xml:space="preserve">To report an Adverse Event or Product Complaint, please contact </w:t>
      </w:r>
      <w:r>
        <w:t xml:space="preserve">Fresenius </w:t>
      </w:r>
      <w:r w:rsidRPr="00BC726A">
        <w:t>at:</w:t>
      </w:r>
    </w:p>
    <w:p w14:paraId="63153410" w14:textId="77777777" w:rsidR="00BC726A" w:rsidRPr="00BC726A" w:rsidRDefault="00BC726A" w:rsidP="00BC726A">
      <w:pPr>
        <w:ind w:left="720"/>
      </w:pPr>
      <w:r w:rsidRPr="00BC726A">
        <w:t>Phone: 1-855-354-6387</w:t>
      </w:r>
    </w:p>
    <w:p w14:paraId="3F7B2334" w14:textId="77777777" w:rsidR="00BC726A" w:rsidRPr="00BC726A" w:rsidRDefault="00BC726A" w:rsidP="00BC726A">
      <w:pPr>
        <w:ind w:firstLine="720"/>
      </w:pPr>
      <w:r w:rsidRPr="00BC726A">
        <w:t xml:space="preserve">Email for </w:t>
      </w:r>
      <w:proofErr w:type="spellStart"/>
      <w:r w:rsidRPr="00BC726A">
        <w:t>Ivenix</w:t>
      </w:r>
      <w:proofErr w:type="spellEnd"/>
      <w:r w:rsidRPr="00BC726A">
        <w:t xml:space="preserve"> pump and disposables: Ivenix_support@fresenius-kabi.com</w:t>
      </w:r>
    </w:p>
    <w:p w14:paraId="7202501D" w14:textId="77777777" w:rsidR="00BC726A" w:rsidRDefault="00BC726A" w:rsidP="00BC726A">
      <w:pPr>
        <w:ind w:firstLine="720"/>
      </w:pPr>
      <w:r w:rsidRPr="00BC726A">
        <w:t>Email for nondedicated disposables: mdcomplaintsupport@Fresenius-kabi.com</w:t>
      </w:r>
    </w:p>
    <w:p w14:paraId="5A809B81" w14:textId="77777777" w:rsidR="00BC726A" w:rsidRDefault="00BC726A">
      <w:pPr>
        <w:rPr>
          <w:rStyle w:val="ui-provider"/>
        </w:rPr>
      </w:pPr>
    </w:p>
    <w:p w14:paraId="33B37002" w14:textId="169C9D9C" w:rsidR="004D5C13" w:rsidRDefault="002A5892">
      <w:r>
        <w:rPr>
          <w:noProof/>
        </w:rPr>
        <w:lastRenderedPageBreak/>
        <w:drawing>
          <wp:inline distT="0" distB="0" distL="0" distR="0" wp14:anchorId="0F6B19CC" wp14:editId="18037E6D">
            <wp:extent cx="6257925" cy="7849797"/>
            <wp:effectExtent l="0" t="0" r="0" b="0"/>
            <wp:docPr id="2018568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5916" cy="7859821"/>
                    </a:xfrm>
                    <a:prstGeom prst="rect">
                      <a:avLst/>
                    </a:prstGeom>
                    <a:noFill/>
                  </pic:spPr>
                </pic:pic>
              </a:graphicData>
            </a:graphic>
          </wp:inline>
        </w:drawing>
      </w:r>
    </w:p>
    <w:sectPr w:rsidR="004D5C1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AAC9" w14:textId="77777777" w:rsidR="00B76C2C" w:rsidRDefault="00B76C2C" w:rsidP="003F3CCE">
      <w:r>
        <w:separator/>
      </w:r>
    </w:p>
  </w:endnote>
  <w:endnote w:type="continuationSeparator" w:id="0">
    <w:p w14:paraId="28C3544C" w14:textId="77777777" w:rsidR="00B76C2C" w:rsidRDefault="00B76C2C" w:rsidP="003F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1D5D" w14:textId="796B2816" w:rsidR="005E2699" w:rsidRDefault="005E2699" w:rsidP="005E2699">
    <w:pPr>
      <w:pStyle w:val="Footer"/>
      <w:jc w:val="right"/>
    </w:pPr>
    <w:r>
      <w:t>Go-Live:  06/17/2025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6B60" w14:textId="77777777" w:rsidR="00B76C2C" w:rsidRDefault="00B76C2C" w:rsidP="003F3CCE">
      <w:r>
        <w:separator/>
      </w:r>
    </w:p>
  </w:footnote>
  <w:footnote w:type="continuationSeparator" w:id="0">
    <w:p w14:paraId="72841991" w14:textId="77777777" w:rsidR="00B76C2C" w:rsidRDefault="00B76C2C" w:rsidP="003F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89EF" w14:textId="067DC0DF" w:rsidR="003F3CCE" w:rsidRDefault="003F3CCE" w:rsidP="003F3CCE">
    <w:pPr>
      <w:pStyle w:val="Header"/>
      <w:jc w:val="center"/>
    </w:pPr>
    <w:r>
      <w:rPr>
        <w:b/>
        <w:noProof/>
        <w:sz w:val="28"/>
        <w:szCs w:val="28"/>
      </w:rPr>
      <w:drawing>
        <wp:anchor distT="0" distB="0" distL="114300" distR="114300" simplePos="0" relativeHeight="251659264" behindDoc="1" locked="0" layoutInCell="1" allowOverlap="1" wp14:anchorId="2143EC84" wp14:editId="1A74ED8D">
          <wp:simplePos x="0" y="0"/>
          <wp:positionH relativeFrom="margin">
            <wp:posOffset>1866900</wp:posOffset>
          </wp:positionH>
          <wp:positionV relativeFrom="paragraph">
            <wp:posOffset>-372110</wp:posOffset>
          </wp:positionV>
          <wp:extent cx="2060575" cy="509905"/>
          <wp:effectExtent l="0" t="0" r="0" b="4445"/>
          <wp:wrapTight wrapText="bothSides">
            <wp:wrapPolygon edited="0">
              <wp:start x="0" y="0"/>
              <wp:lineTo x="0" y="20981"/>
              <wp:lineTo x="21367" y="20981"/>
              <wp:lineTo x="21367" y="0"/>
              <wp:lineTo x="0" y="0"/>
            </wp:wrapPolygon>
          </wp:wrapTight>
          <wp:docPr id="867993316" name="Picture 86799331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60575" cy="509905"/>
                  </a:xfrm>
                  <a:prstGeom prst="rect">
                    <a:avLst/>
                  </a:prstGeom>
                </pic:spPr>
              </pic:pic>
            </a:graphicData>
          </a:graphic>
          <wp14:sizeRelH relativeFrom="page">
            <wp14:pctWidth>0</wp14:pctWidth>
          </wp14:sizeRelH>
          <wp14:sizeRelV relativeFrom="page">
            <wp14:pctHeight>0</wp14:pctHeight>
          </wp14:sizeRelV>
        </wp:anchor>
      </w:drawing>
    </w:r>
  </w:p>
  <w:p w14:paraId="753C12A0" w14:textId="36EEAED7" w:rsidR="003F3CCE" w:rsidRPr="003F3CCE" w:rsidRDefault="003F3CCE" w:rsidP="003F3CCE">
    <w:pPr>
      <w:pStyle w:val="Header"/>
      <w:jc w:val="center"/>
      <w:rPr>
        <w:sz w:val="28"/>
        <w:szCs w:val="28"/>
      </w:rPr>
    </w:pPr>
    <w:r w:rsidRPr="003F3CCE">
      <w:rPr>
        <w:sz w:val="28"/>
        <w:szCs w:val="28"/>
      </w:rPr>
      <w:t xml:space="preserve">SH </w:t>
    </w:r>
    <w:r w:rsidR="0051546B" w:rsidRPr="003F3CCE">
      <w:rPr>
        <w:sz w:val="28"/>
        <w:szCs w:val="28"/>
      </w:rPr>
      <w:t>FAQ Resource</w:t>
    </w:r>
    <w:r w:rsidR="0051546B">
      <w:rPr>
        <w:sz w:val="28"/>
        <w:szCs w:val="28"/>
      </w:rPr>
      <w:t xml:space="preserve">:  Fresenius </w:t>
    </w:r>
    <w:proofErr w:type="spellStart"/>
    <w:r w:rsidRPr="003F3CCE">
      <w:rPr>
        <w:sz w:val="28"/>
        <w:szCs w:val="28"/>
      </w:rPr>
      <w:t>Ivenix</w:t>
    </w:r>
    <w:proofErr w:type="spellEnd"/>
    <w:r w:rsidRPr="003F3CCE">
      <w:rPr>
        <w:sz w:val="28"/>
        <w:szCs w:val="28"/>
      </w:rPr>
      <w:t xml:space="preserve"> Pump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62CBB"/>
    <w:multiLevelType w:val="hybridMultilevel"/>
    <w:tmpl w:val="2C8A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5322FE"/>
    <w:multiLevelType w:val="hybridMultilevel"/>
    <w:tmpl w:val="B30A3C10"/>
    <w:lvl w:ilvl="0" w:tplc="81669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901E97"/>
    <w:multiLevelType w:val="hybridMultilevel"/>
    <w:tmpl w:val="57024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B20F42"/>
    <w:multiLevelType w:val="hybridMultilevel"/>
    <w:tmpl w:val="16CE2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A1986"/>
    <w:multiLevelType w:val="hybridMultilevel"/>
    <w:tmpl w:val="8718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438BF"/>
    <w:multiLevelType w:val="hybridMultilevel"/>
    <w:tmpl w:val="B30A3C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33886775">
    <w:abstractNumId w:val="2"/>
  </w:num>
  <w:num w:numId="2" w16cid:durableId="610433672">
    <w:abstractNumId w:val="0"/>
  </w:num>
  <w:num w:numId="3" w16cid:durableId="1251088753">
    <w:abstractNumId w:val="4"/>
  </w:num>
  <w:num w:numId="4" w16cid:durableId="1209951970">
    <w:abstractNumId w:val="1"/>
  </w:num>
  <w:num w:numId="5" w16cid:durableId="2074547564">
    <w:abstractNumId w:val="3"/>
  </w:num>
  <w:num w:numId="6" w16cid:durableId="1124081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96"/>
    <w:rsid w:val="00014CAD"/>
    <w:rsid w:val="00023527"/>
    <w:rsid w:val="0006601C"/>
    <w:rsid w:val="00071E34"/>
    <w:rsid w:val="00076D1C"/>
    <w:rsid w:val="00095126"/>
    <w:rsid w:val="000953C7"/>
    <w:rsid w:val="000B0700"/>
    <w:rsid w:val="000B25CA"/>
    <w:rsid w:val="000C4839"/>
    <w:rsid w:val="000F38C7"/>
    <w:rsid w:val="00114CEC"/>
    <w:rsid w:val="00130251"/>
    <w:rsid w:val="00171096"/>
    <w:rsid w:val="00192BC7"/>
    <w:rsid w:val="001C01E0"/>
    <w:rsid w:val="001C0B96"/>
    <w:rsid w:val="001D4233"/>
    <w:rsid w:val="001E4404"/>
    <w:rsid w:val="001F1414"/>
    <w:rsid w:val="001F3989"/>
    <w:rsid w:val="00204DAE"/>
    <w:rsid w:val="00206895"/>
    <w:rsid w:val="00247141"/>
    <w:rsid w:val="00260D33"/>
    <w:rsid w:val="00260DAF"/>
    <w:rsid w:val="002659E3"/>
    <w:rsid w:val="00273237"/>
    <w:rsid w:val="002A5892"/>
    <w:rsid w:val="002D2491"/>
    <w:rsid w:val="00306DC9"/>
    <w:rsid w:val="00322269"/>
    <w:rsid w:val="00323097"/>
    <w:rsid w:val="00326EAD"/>
    <w:rsid w:val="00327FB7"/>
    <w:rsid w:val="0034474F"/>
    <w:rsid w:val="00352D40"/>
    <w:rsid w:val="0035409D"/>
    <w:rsid w:val="00360119"/>
    <w:rsid w:val="00382D42"/>
    <w:rsid w:val="00387358"/>
    <w:rsid w:val="003D1020"/>
    <w:rsid w:val="003E1913"/>
    <w:rsid w:val="003F3CCE"/>
    <w:rsid w:val="0040239F"/>
    <w:rsid w:val="0040560A"/>
    <w:rsid w:val="00426241"/>
    <w:rsid w:val="00463F59"/>
    <w:rsid w:val="004712D5"/>
    <w:rsid w:val="004861D6"/>
    <w:rsid w:val="00493ED0"/>
    <w:rsid w:val="004B107F"/>
    <w:rsid w:val="004B6367"/>
    <w:rsid w:val="004C2B4A"/>
    <w:rsid w:val="004D5C13"/>
    <w:rsid w:val="004F3F46"/>
    <w:rsid w:val="0051546B"/>
    <w:rsid w:val="0051700C"/>
    <w:rsid w:val="00531109"/>
    <w:rsid w:val="005453B2"/>
    <w:rsid w:val="00562D28"/>
    <w:rsid w:val="005761A0"/>
    <w:rsid w:val="0058475F"/>
    <w:rsid w:val="005876FF"/>
    <w:rsid w:val="005B71A6"/>
    <w:rsid w:val="005E0AF8"/>
    <w:rsid w:val="005E2699"/>
    <w:rsid w:val="005E49E1"/>
    <w:rsid w:val="005F03F6"/>
    <w:rsid w:val="0061170A"/>
    <w:rsid w:val="00612369"/>
    <w:rsid w:val="00625E70"/>
    <w:rsid w:val="006378AB"/>
    <w:rsid w:val="00667F3A"/>
    <w:rsid w:val="0067542D"/>
    <w:rsid w:val="006A1777"/>
    <w:rsid w:val="006A4530"/>
    <w:rsid w:val="006E4587"/>
    <w:rsid w:val="006E5610"/>
    <w:rsid w:val="00725C67"/>
    <w:rsid w:val="00730B6E"/>
    <w:rsid w:val="00745A2B"/>
    <w:rsid w:val="00751112"/>
    <w:rsid w:val="007675E8"/>
    <w:rsid w:val="00772CE4"/>
    <w:rsid w:val="00777011"/>
    <w:rsid w:val="00815AD9"/>
    <w:rsid w:val="008179A8"/>
    <w:rsid w:val="00822942"/>
    <w:rsid w:val="00823B5F"/>
    <w:rsid w:val="008506A9"/>
    <w:rsid w:val="008635AF"/>
    <w:rsid w:val="00865092"/>
    <w:rsid w:val="00867BBB"/>
    <w:rsid w:val="0087450D"/>
    <w:rsid w:val="008B768F"/>
    <w:rsid w:val="008C6C1A"/>
    <w:rsid w:val="00915448"/>
    <w:rsid w:val="009221A8"/>
    <w:rsid w:val="009228EB"/>
    <w:rsid w:val="00936103"/>
    <w:rsid w:val="00936256"/>
    <w:rsid w:val="009479E9"/>
    <w:rsid w:val="009569B0"/>
    <w:rsid w:val="00972FCA"/>
    <w:rsid w:val="00981F4C"/>
    <w:rsid w:val="00986863"/>
    <w:rsid w:val="00994B05"/>
    <w:rsid w:val="009C1453"/>
    <w:rsid w:val="009C6281"/>
    <w:rsid w:val="009D651F"/>
    <w:rsid w:val="009E11FE"/>
    <w:rsid w:val="009F2BAD"/>
    <w:rsid w:val="00A02960"/>
    <w:rsid w:val="00A075B7"/>
    <w:rsid w:val="00A1242D"/>
    <w:rsid w:val="00A4726A"/>
    <w:rsid w:val="00A478A7"/>
    <w:rsid w:val="00A51FB0"/>
    <w:rsid w:val="00A66508"/>
    <w:rsid w:val="00A90CE2"/>
    <w:rsid w:val="00A91D62"/>
    <w:rsid w:val="00AB58A2"/>
    <w:rsid w:val="00AC239C"/>
    <w:rsid w:val="00AD7670"/>
    <w:rsid w:val="00AD7836"/>
    <w:rsid w:val="00AE07AB"/>
    <w:rsid w:val="00AF1083"/>
    <w:rsid w:val="00B14267"/>
    <w:rsid w:val="00B22EFE"/>
    <w:rsid w:val="00B45426"/>
    <w:rsid w:val="00B6365D"/>
    <w:rsid w:val="00B76C2C"/>
    <w:rsid w:val="00B84DAE"/>
    <w:rsid w:val="00B9610C"/>
    <w:rsid w:val="00BB0D8D"/>
    <w:rsid w:val="00BC1AD7"/>
    <w:rsid w:val="00BC726A"/>
    <w:rsid w:val="00BD123F"/>
    <w:rsid w:val="00BE0A03"/>
    <w:rsid w:val="00BF3078"/>
    <w:rsid w:val="00BF59AC"/>
    <w:rsid w:val="00C461CC"/>
    <w:rsid w:val="00C52732"/>
    <w:rsid w:val="00C604BC"/>
    <w:rsid w:val="00C706A7"/>
    <w:rsid w:val="00C76DB7"/>
    <w:rsid w:val="00C8538F"/>
    <w:rsid w:val="00CE396B"/>
    <w:rsid w:val="00D06683"/>
    <w:rsid w:val="00D254A0"/>
    <w:rsid w:val="00D5305A"/>
    <w:rsid w:val="00D7053C"/>
    <w:rsid w:val="00D81F14"/>
    <w:rsid w:val="00D83D89"/>
    <w:rsid w:val="00D93CF1"/>
    <w:rsid w:val="00DB1D4D"/>
    <w:rsid w:val="00DB2AA4"/>
    <w:rsid w:val="00DB6A80"/>
    <w:rsid w:val="00E1214E"/>
    <w:rsid w:val="00E17EBC"/>
    <w:rsid w:val="00E202B7"/>
    <w:rsid w:val="00E32B52"/>
    <w:rsid w:val="00E63DBC"/>
    <w:rsid w:val="00E67483"/>
    <w:rsid w:val="00E74F27"/>
    <w:rsid w:val="00E77AC5"/>
    <w:rsid w:val="00E97897"/>
    <w:rsid w:val="00E97EC8"/>
    <w:rsid w:val="00EE246C"/>
    <w:rsid w:val="00EF340E"/>
    <w:rsid w:val="00FA19AC"/>
    <w:rsid w:val="00FA503A"/>
    <w:rsid w:val="00FD44E5"/>
    <w:rsid w:val="00FE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AA47"/>
  <w15:chartTrackingRefBased/>
  <w15:docId w15:val="{06A035ED-D3F5-4926-B7DD-E5BE75E6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096"/>
    <w:pPr>
      <w:ind w:left="720"/>
    </w:pPr>
  </w:style>
  <w:style w:type="paragraph" w:styleId="NoSpacing">
    <w:name w:val="No Spacing"/>
    <w:basedOn w:val="Normal"/>
    <w:uiPriority w:val="1"/>
    <w:qFormat/>
    <w:rsid w:val="00D7053C"/>
  </w:style>
  <w:style w:type="character" w:customStyle="1" w:styleId="ui-provider">
    <w:name w:val="ui-provider"/>
    <w:basedOn w:val="DefaultParagraphFont"/>
    <w:rsid w:val="00FD44E5"/>
  </w:style>
  <w:style w:type="paragraph" w:styleId="Header">
    <w:name w:val="header"/>
    <w:basedOn w:val="Normal"/>
    <w:link w:val="HeaderChar"/>
    <w:uiPriority w:val="99"/>
    <w:unhideWhenUsed/>
    <w:rsid w:val="003F3CCE"/>
    <w:pPr>
      <w:tabs>
        <w:tab w:val="center" w:pos="4680"/>
        <w:tab w:val="right" w:pos="9360"/>
      </w:tabs>
    </w:pPr>
  </w:style>
  <w:style w:type="character" w:customStyle="1" w:styleId="HeaderChar">
    <w:name w:val="Header Char"/>
    <w:basedOn w:val="DefaultParagraphFont"/>
    <w:link w:val="Header"/>
    <w:uiPriority w:val="99"/>
    <w:rsid w:val="003F3CCE"/>
    <w:rPr>
      <w:rFonts w:ascii="Calibri" w:hAnsi="Calibri" w:cs="Calibri"/>
    </w:rPr>
  </w:style>
  <w:style w:type="paragraph" w:styleId="Footer">
    <w:name w:val="footer"/>
    <w:basedOn w:val="Normal"/>
    <w:link w:val="FooterChar"/>
    <w:uiPriority w:val="99"/>
    <w:unhideWhenUsed/>
    <w:rsid w:val="003F3CCE"/>
    <w:pPr>
      <w:tabs>
        <w:tab w:val="center" w:pos="4680"/>
        <w:tab w:val="right" w:pos="9360"/>
      </w:tabs>
    </w:pPr>
  </w:style>
  <w:style w:type="character" w:customStyle="1" w:styleId="FooterChar">
    <w:name w:val="Footer Char"/>
    <w:basedOn w:val="DefaultParagraphFont"/>
    <w:link w:val="Footer"/>
    <w:uiPriority w:val="99"/>
    <w:rsid w:val="003F3CCE"/>
    <w:rPr>
      <w:rFonts w:ascii="Calibri" w:hAnsi="Calibri" w:cs="Calibri"/>
    </w:rPr>
  </w:style>
  <w:style w:type="character" w:styleId="Hyperlink">
    <w:name w:val="Hyperlink"/>
    <w:basedOn w:val="DefaultParagraphFont"/>
    <w:uiPriority w:val="99"/>
    <w:unhideWhenUsed/>
    <w:rsid w:val="00E67483"/>
    <w:rPr>
      <w:color w:val="0563C1" w:themeColor="hyperlink"/>
      <w:u w:val="single"/>
    </w:rPr>
  </w:style>
  <w:style w:type="character" w:styleId="UnresolvedMention">
    <w:name w:val="Unresolved Mention"/>
    <w:basedOn w:val="DefaultParagraphFont"/>
    <w:uiPriority w:val="99"/>
    <w:semiHidden/>
    <w:unhideWhenUsed/>
    <w:rsid w:val="00E67483"/>
    <w:rPr>
      <w:color w:val="605E5C"/>
      <w:shd w:val="clear" w:color="auto" w:fill="E1DFDD"/>
    </w:rPr>
  </w:style>
  <w:style w:type="table" w:styleId="TableGrid">
    <w:name w:val="Table Grid"/>
    <w:basedOn w:val="TableNormal"/>
    <w:uiPriority w:val="39"/>
    <w:rsid w:val="00BB0D8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5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3241">
      <w:bodyDiv w:val="1"/>
      <w:marLeft w:val="0"/>
      <w:marRight w:val="0"/>
      <w:marTop w:val="0"/>
      <w:marBottom w:val="0"/>
      <w:divBdr>
        <w:top w:val="none" w:sz="0" w:space="0" w:color="auto"/>
        <w:left w:val="none" w:sz="0" w:space="0" w:color="auto"/>
        <w:bottom w:val="none" w:sz="0" w:space="0" w:color="auto"/>
        <w:right w:val="none" w:sz="0" w:space="0" w:color="auto"/>
      </w:divBdr>
    </w:div>
    <w:div w:id="134104838">
      <w:bodyDiv w:val="1"/>
      <w:marLeft w:val="0"/>
      <w:marRight w:val="0"/>
      <w:marTop w:val="0"/>
      <w:marBottom w:val="0"/>
      <w:divBdr>
        <w:top w:val="none" w:sz="0" w:space="0" w:color="auto"/>
        <w:left w:val="none" w:sz="0" w:space="0" w:color="auto"/>
        <w:bottom w:val="none" w:sz="0" w:space="0" w:color="auto"/>
        <w:right w:val="none" w:sz="0" w:space="0" w:color="auto"/>
      </w:divBdr>
    </w:div>
    <w:div w:id="181363727">
      <w:bodyDiv w:val="1"/>
      <w:marLeft w:val="0"/>
      <w:marRight w:val="0"/>
      <w:marTop w:val="0"/>
      <w:marBottom w:val="0"/>
      <w:divBdr>
        <w:top w:val="none" w:sz="0" w:space="0" w:color="auto"/>
        <w:left w:val="none" w:sz="0" w:space="0" w:color="auto"/>
        <w:bottom w:val="none" w:sz="0" w:space="0" w:color="auto"/>
        <w:right w:val="none" w:sz="0" w:space="0" w:color="auto"/>
      </w:divBdr>
    </w:div>
    <w:div w:id="437531632">
      <w:bodyDiv w:val="1"/>
      <w:marLeft w:val="0"/>
      <w:marRight w:val="0"/>
      <w:marTop w:val="0"/>
      <w:marBottom w:val="0"/>
      <w:divBdr>
        <w:top w:val="none" w:sz="0" w:space="0" w:color="auto"/>
        <w:left w:val="none" w:sz="0" w:space="0" w:color="auto"/>
        <w:bottom w:val="none" w:sz="0" w:space="0" w:color="auto"/>
        <w:right w:val="none" w:sz="0" w:space="0" w:color="auto"/>
      </w:divBdr>
    </w:div>
    <w:div w:id="455559866">
      <w:bodyDiv w:val="1"/>
      <w:marLeft w:val="0"/>
      <w:marRight w:val="0"/>
      <w:marTop w:val="0"/>
      <w:marBottom w:val="0"/>
      <w:divBdr>
        <w:top w:val="none" w:sz="0" w:space="0" w:color="auto"/>
        <w:left w:val="none" w:sz="0" w:space="0" w:color="auto"/>
        <w:bottom w:val="none" w:sz="0" w:space="0" w:color="auto"/>
        <w:right w:val="none" w:sz="0" w:space="0" w:color="auto"/>
      </w:divBdr>
    </w:div>
    <w:div w:id="647394748">
      <w:bodyDiv w:val="1"/>
      <w:marLeft w:val="0"/>
      <w:marRight w:val="0"/>
      <w:marTop w:val="0"/>
      <w:marBottom w:val="0"/>
      <w:divBdr>
        <w:top w:val="none" w:sz="0" w:space="0" w:color="auto"/>
        <w:left w:val="none" w:sz="0" w:space="0" w:color="auto"/>
        <w:bottom w:val="none" w:sz="0" w:space="0" w:color="auto"/>
        <w:right w:val="none" w:sz="0" w:space="0" w:color="auto"/>
      </w:divBdr>
    </w:div>
    <w:div w:id="686713373">
      <w:bodyDiv w:val="1"/>
      <w:marLeft w:val="0"/>
      <w:marRight w:val="0"/>
      <w:marTop w:val="0"/>
      <w:marBottom w:val="0"/>
      <w:divBdr>
        <w:top w:val="none" w:sz="0" w:space="0" w:color="auto"/>
        <w:left w:val="none" w:sz="0" w:space="0" w:color="auto"/>
        <w:bottom w:val="none" w:sz="0" w:space="0" w:color="auto"/>
        <w:right w:val="none" w:sz="0" w:space="0" w:color="auto"/>
      </w:divBdr>
    </w:div>
    <w:div w:id="697973179">
      <w:bodyDiv w:val="1"/>
      <w:marLeft w:val="0"/>
      <w:marRight w:val="0"/>
      <w:marTop w:val="0"/>
      <w:marBottom w:val="0"/>
      <w:divBdr>
        <w:top w:val="none" w:sz="0" w:space="0" w:color="auto"/>
        <w:left w:val="none" w:sz="0" w:space="0" w:color="auto"/>
        <w:bottom w:val="none" w:sz="0" w:space="0" w:color="auto"/>
        <w:right w:val="none" w:sz="0" w:space="0" w:color="auto"/>
      </w:divBdr>
    </w:div>
    <w:div w:id="963654747">
      <w:bodyDiv w:val="1"/>
      <w:marLeft w:val="0"/>
      <w:marRight w:val="0"/>
      <w:marTop w:val="0"/>
      <w:marBottom w:val="0"/>
      <w:divBdr>
        <w:top w:val="none" w:sz="0" w:space="0" w:color="auto"/>
        <w:left w:val="none" w:sz="0" w:space="0" w:color="auto"/>
        <w:bottom w:val="none" w:sz="0" w:space="0" w:color="auto"/>
        <w:right w:val="none" w:sz="0" w:space="0" w:color="auto"/>
      </w:divBdr>
    </w:div>
    <w:div w:id="979186969">
      <w:bodyDiv w:val="1"/>
      <w:marLeft w:val="0"/>
      <w:marRight w:val="0"/>
      <w:marTop w:val="0"/>
      <w:marBottom w:val="0"/>
      <w:divBdr>
        <w:top w:val="none" w:sz="0" w:space="0" w:color="auto"/>
        <w:left w:val="none" w:sz="0" w:space="0" w:color="auto"/>
        <w:bottom w:val="none" w:sz="0" w:space="0" w:color="auto"/>
        <w:right w:val="none" w:sz="0" w:space="0" w:color="auto"/>
      </w:divBdr>
    </w:div>
    <w:div w:id="1207646341">
      <w:bodyDiv w:val="1"/>
      <w:marLeft w:val="0"/>
      <w:marRight w:val="0"/>
      <w:marTop w:val="0"/>
      <w:marBottom w:val="0"/>
      <w:divBdr>
        <w:top w:val="none" w:sz="0" w:space="0" w:color="auto"/>
        <w:left w:val="none" w:sz="0" w:space="0" w:color="auto"/>
        <w:bottom w:val="none" w:sz="0" w:space="0" w:color="auto"/>
        <w:right w:val="none" w:sz="0" w:space="0" w:color="auto"/>
      </w:divBdr>
    </w:div>
    <w:div w:id="1296761946">
      <w:bodyDiv w:val="1"/>
      <w:marLeft w:val="0"/>
      <w:marRight w:val="0"/>
      <w:marTop w:val="0"/>
      <w:marBottom w:val="0"/>
      <w:divBdr>
        <w:top w:val="none" w:sz="0" w:space="0" w:color="auto"/>
        <w:left w:val="none" w:sz="0" w:space="0" w:color="auto"/>
        <w:bottom w:val="none" w:sz="0" w:space="0" w:color="auto"/>
        <w:right w:val="none" w:sz="0" w:space="0" w:color="auto"/>
      </w:divBdr>
    </w:div>
    <w:div w:id="1569460569">
      <w:bodyDiv w:val="1"/>
      <w:marLeft w:val="0"/>
      <w:marRight w:val="0"/>
      <w:marTop w:val="0"/>
      <w:marBottom w:val="0"/>
      <w:divBdr>
        <w:top w:val="none" w:sz="0" w:space="0" w:color="auto"/>
        <w:left w:val="none" w:sz="0" w:space="0" w:color="auto"/>
        <w:bottom w:val="none" w:sz="0" w:space="0" w:color="auto"/>
        <w:right w:val="none" w:sz="0" w:space="0" w:color="auto"/>
      </w:divBdr>
    </w:div>
    <w:div w:id="1583493926">
      <w:bodyDiv w:val="1"/>
      <w:marLeft w:val="0"/>
      <w:marRight w:val="0"/>
      <w:marTop w:val="0"/>
      <w:marBottom w:val="0"/>
      <w:divBdr>
        <w:top w:val="none" w:sz="0" w:space="0" w:color="auto"/>
        <w:left w:val="none" w:sz="0" w:space="0" w:color="auto"/>
        <w:bottom w:val="none" w:sz="0" w:space="0" w:color="auto"/>
        <w:right w:val="none" w:sz="0" w:space="0" w:color="auto"/>
      </w:divBdr>
    </w:div>
    <w:div w:id="17391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fu.fresenius-kabi.com/ivenix/pages/viewers/pdf?projectKey=66941d42af17220d655e1ccf&amp;itemKey=6772b1893c2c7728d9483903" TargetMode="External"/><Relationship Id="rId13" Type="http://schemas.openxmlformats.org/officeDocument/2006/relationships/hyperlink" Target="mailto:Eric.Klink@fresenius-kabi.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resenius-kabi-infusionresources.com/" TargetMode="External"/><Relationship Id="rId12" Type="http://schemas.openxmlformats.org/officeDocument/2006/relationships/hyperlink" Target="mailto:Stephanie.Helgeson@fresenius-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Infusion.medinfo.USA@fresenius-kabi.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dy.gilmer@fresenius-kabi.com" TargetMode="External"/><Relationship Id="rId5" Type="http://schemas.openxmlformats.org/officeDocument/2006/relationships/footnotes" Target="footnotes.xml"/><Relationship Id="rId15" Type="http://schemas.openxmlformats.org/officeDocument/2006/relationships/hyperlink" Target="mailto:Ricardo.Pina@fresenius-kabi.com" TargetMode="External"/><Relationship Id="rId10" Type="http://schemas.openxmlformats.org/officeDocument/2006/relationships/hyperlink" Target="https://stohosp.sharepoint.com/:w:/r/sites/PandP/_layouts/15/Doc.aspx?sourcedoc=%7B78790F04-D894-4ACB-9634-30EF55A639B9%7D&amp;file=Safety.docx&amp;action=default&amp;mobileredirect=true&amp;DefaultItemOpen=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stoltz@stoughtonhealth.com" TargetMode="External"/><Relationship Id="rId14" Type="http://schemas.openxmlformats.org/officeDocument/2006/relationships/hyperlink" Target="mailto:Alan.Persinger@fresenius-kab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7b5c1b-0570-438f-89d9-f701fb549e26}" enabled="0" method="" siteId="{367b5c1b-0570-438f-89d9-f701fb549e2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Stoltz, Samantha</cp:lastModifiedBy>
  <cp:revision>2</cp:revision>
  <cp:lastPrinted>2025-06-21T13:20:00Z</cp:lastPrinted>
  <dcterms:created xsi:type="dcterms:W3CDTF">2025-06-23T15:10:00Z</dcterms:created>
  <dcterms:modified xsi:type="dcterms:W3CDTF">2025-06-23T15:10:00Z</dcterms:modified>
</cp:coreProperties>
</file>